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5E" w:rsidRPr="00CA095E" w:rsidRDefault="00CA095E" w:rsidP="00CA095E">
      <w:pPr>
        <w:jc w:val="center"/>
        <w:rPr>
          <w:rFonts w:ascii="Times New Roman" w:hAnsi="Times New Roman"/>
          <w:b/>
          <w:sz w:val="28"/>
          <w:szCs w:val="28"/>
        </w:rPr>
      </w:pPr>
      <w:r w:rsidRPr="00CA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«Б</w:t>
      </w:r>
      <w:r w:rsidRPr="00CA095E">
        <w:rPr>
          <w:rFonts w:ascii="Times New Roman" w:eastAsia="Arial" w:hAnsi="Times New Roman"/>
          <w:b/>
          <w:color w:val="000000"/>
          <w:spacing w:val="-4"/>
          <w:kern w:val="2"/>
          <w:sz w:val="28"/>
          <w:szCs w:val="28"/>
        </w:rPr>
        <w:t>анный комплекс</w:t>
      </w:r>
      <w:r w:rsidRPr="00CA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«Городские парильни»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afa"/>
              <w:rPr>
                <w:rFonts w:ascii="Times New Roman" w:eastAsia="Calibri" w:hAnsi="Times New Roman"/>
              </w:rPr>
            </w:pPr>
            <w:r w:rsidRPr="00CA095E">
              <w:rPr>
                <w:rFonts w:ascii="Times New Roman" w:eastAsia="Calibri" w:hAnsi="Times New Roman"/>
              </w:rPr>
              <w:t>Заместитель директора Департамента имущественных отношений Тюменской области</w:t>
            </w:r>
            <w:r w:rsidRPr="00CA095E">
              <w:rPr>
                <w:rFonts w:ascii="Times New Roman" w:eastAsia="Times New Roman" w:hAnsi="Times New Roman"/>
                <w:color w:val="000000"/>
                <w:lang w:eastAsia="ru-RU"/>
              </w:rPr>
              <w:t>, тел.: 8 (3452) 69 01 69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«Б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анный комплекс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«Городские парильни»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 поддержи деятельности субъектов МСП путем реализации Федерального закона от 22.07.2008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159-ФЗ «Об особенностях отчуждения движимого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>и недвижимого имущества, находящегося в государственной или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далее – ФЗ № 159-ФЗ.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С 1993 года на территории города Тюмени функционирует банный комплекс «Городские парильни». Площадь объекта свыше 3-х тысяч квадратных метров. В 2016 году объект был закрыт по причине признания части комплекса аварийным. </w:t>
            </w:r>
          </w:p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В 2017 году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А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>дминистрацией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 города Тюмени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 с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субъектом МСП заключен договор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 аренды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с инвестиционными условиями в части восстановления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 объект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а и последующим выкупомв рассрочку, согласно пункту 6 статьи 5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 ФЗ № 159-ФЗ.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Через 5 лет аренды, заключен договор купли-продажи, при этом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br/>
              <w:t xml:space="preserve">в соответствии с пунктом 6 статьи 5 </w:t>
            </w:r>
            <w:r w:rsidRPr="00CA095E">
              <w:rPr>
                <w:rFonts w:ascii="Times New Roman" w:hAnsi="Times New Roman"/>
                <w:sz w:val="24"/>
                <w:szCs w:val="24"/>
              </w:rPr>
              <w:t>ФЗ №159-ФЗ,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 стоимость неотделимых улучшений арендуемого имущества, осуществленных арендатором, была засчитана в счет оплаты приобретаемого арендуемого имущества.</w:t>
            </w:r>
          </w:p>
          <w:p w:rsidR="00CA095E" w:rsidRPr="00CA095E" w:rsidRDefault="00CA095E" w:rsidP="00280E5D">
            <w:pPr>
              <w:pStyle w:val="Default"/>
              <w:jc w:val="both"/>
              <w:rPr>
                <w:color w:val="auto"/>
              </w:rPr>
            </w:pPr>
            <w:r w:rsidRPr="00CA095E">
              <w:rPr>
                <w:rFonts w:ascii="Times New Roman" w:hAnsi="Times New Roman" w:cs="Times New Roman"/>
              </w:rPr>
              <w:t xml:space="preserve">Кроме того, согласно Закону Тюменской области от 28.09.2018 </w:t>
            </w:r>
            <w:r w:rsidRPr="00CA095E">
              <w:rPr>
                <w:rFonts w:ascii="Times New Roman" w:hAnsi="Times New Roman" w:cs="Times New Roman"/>
              </w:rPr>
              <w:br/>
              <w:t xml:space="preserve">№ 89 «Об установлении срока рассрочки оплаты, приобретаемого субъектами малого и среднего предпринимательства, арендуемого ими движимого и недвижимого имущества, находящегося </w:t>
            </w:r>
            <w:r w:rsidRPr="00CA095E">
              <w:rPr>
                <w:rFonts w:ascii="Times New Roman" w:hAnsi="Times New Roman" w:cs="Times New Roman"/>
              </w:rPr>
              <w:br/>
              <w:t>в государственной собственности Тюменской области, при реализации преимущественного права на приобретение такого имущества»</w:t>
            </w:r>
            <w:r w:rsidRPr="00CA095E">
              <w:rPr>
                <w:rFonts w:ascii="Times New Roman" w:hAnsi="Times New Roman" w:cs="Times New Roman"/>
                <w:color w:val="auto"/>
              </w:rPr>
              <w:t xml:space="preserve">срок рассрочки оплаты недвижимого имущества субъектом МСП установлен до 8 лет, что </w:t>
            </w:r>
            <w:r w:rsidRPr="00CA095E">
              <w:rPr>
                <w:rFonts w:ascii="Times New Roman" w:eastAsia="Arial" w:hAnsi="Times New Roman" w:cs="Times New Roman"/>
                <w:spacing w:val="-4"/>
                <w:kern w:val="2"/>
              </w:rPr>
              <w:t>позволяет субъектам МСП</w:t>
            </w:r>
            <w:r w:rsidRPr="00CA095E">
              <w:rPr>
                <w:rFonts w:ascii="Times New Roman" w:eastAsia="Arial" w:hAnsi="Times New Roman" w:cs="Times New Roman"/>
                <w:color w:val="auto"/>
                <w:spacing w:val="-4"/>
                <w:kern w:val="2"/>
              </w:rPr>
              <w:t xml:space="preserve"> вносить оплату равными платежами под процент </w:t>
            </w:r>
            <w:r w:rsidRPr="00CA095E">
              <w:rPr>
                <w:rFonts w:ascii="Times New Roman" w:eastAsia="SimSun" w:hAnsi="Times New Roman" w:cs="Times New Roman"/>
                <w:iCs/>
                <w:color w:val="auto"/>
                <w:spacing w:val="-4"/>
                <w:lang w:eastAsia="zh-CN" w:bidi="hi-IN"/>
              </w:rPr>
              <w:t>равный 1/3 ставки рефинансирования ЦБ РФ, а главное</w:t>
            </w:r>
            <w:r w:rsidRPr="00CA095E">
              <w:rPr>
                <w:rFonts w:ascii="Times New Roman" w:eastAsia="Arial" w:hAnsi="Times New Roman" w:cs="Times New Roman"/>
                <w:spacing w:val="-4"/>
                <w:kern w:val="2"/>
              </w:rPr>
              <w:t xml:space="preserve">направлять денежные средства на </w:t>
            </w:r>
            <w:r w:rsidRPr="00CA095E">
              <w:rPr>
                <w:rFonts w:ascii="Times New Roman" w:eastAsia="Arial" w:hAnsi="Times New Roman" w:cs="Times New Roman"/>
                <w:color w:val="auto"/>
                <w:spacing w:val="-4"/>
                <w:kern w:val="2"/>
              </w:rPr>
              <w:t>восстановление объекта.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1. Инвесторы получили объект для развития и получения прибыли;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2. Горожане и туристы получили новую точку притяжения, сопоставимую со знаменитыми сандунами;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3. Муниципальное образование с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низило расходы местного бюджета на содержание и восстановление неликвидного объекта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.</w:t>
            </w:r>
          </w:p>
        </w:tc>
      </w:tr>
    </w:tbl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P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b/>
          <w:color w:val="212529"/>
          <w:sz w:val="28"/>
          <w:szCs w:val="28"/>
          <w:shd w:val="clear" w:color="auto" w:fill="FFFFFF"/>
          <w:lang w:eastAsia="ru-RU"/>
        </w:rPr>
      </w:pPr>
      <w:r w:rsidRPr="00CA095E">
        <w:rPr>
          <w:rFonts w:ascii="Times New Roman" w:eastAsia="Times New Roman" w:hAnsi="Times New Roman"/>
          <w:b/>
          <w:color w:val="212529"/>
          <w:sz w:val="28"/>
          <w:szCs w:val="28"/>
          <w:shd w:val="clear" w:color="auto" w:fill="FFFFFF"/>
          <w:lang w:eastAsia="ru-RU"/>
        </w:rPr>
        <w:lastRenderedPageBreak/>
        <w:t>Проект «Стиль 48»</w:t>
      </w:r>
    </w:p>
    <w:p w:rsidR="00CA095E" w:rsidRDefault="00CA095E" w:rsidP="00CA095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214A5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095E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экономического развития Липецкой области, тел.</w:t>
            </w:r>
            <w:r w:rsidRPr="00CA095E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 xml:space="preserve"> + 7(4742) 22-84-56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Проект «Стиль 48»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>Вовлечение коммерческой недвижимости в имущественную поддержку для самозанятых граждан и субъектов МСП Липецкой области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масштабного фестиваля креативных индустрий </w:t>
            </w: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в Липецкой области в 2023 году проведен форум легкой промышленности «СТИЛЬ 48», в котором приняли участие дизайнеры - производители, модельеры и гости Липецкой области. 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форума совместно с центром «Мой бизнес» реализован уникальный проект – ярмарка - выставка региональных производителей в формате бутика «Стиль 48» в ТЦ, где были представлены детская и взрослая одежда, аксессуары, сувенирная продукция, домашний текстиль, плетеные изделия, игрушки, флорариумы, текстильные коллекционные куклы. 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одном пространстве на площади в 180 кв. м разместились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28 региональных брендов, а также 21 самозанятый гражданин.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Участники проекта на льготных условиях на протяжении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-х месяцев представляли свою продукцию в самом крупном областном ТЦ. 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Владелец ТЦ предоставил скидку для реализации важного для региона проекта: о</w:t>
            </w:r>
            <w:r w:rsidRPr="00CA095E">
              <w:rPr>
                <w:rFonts w:ascii="Times New Roman" w:hAnsi="Times New Roman"/>
                <w:sz w:val="24"/>
                <w:szCs w:val="24"/>
              </w:rPr>
              <w:t xml:space="preserve">плата для производителей составляла не более 20 % об общей стоимости аренды., предоставление оборудования на безвозмездной основе. 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выручки производителей;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коллаборация производителей области;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каналов сбыта</w:t>
            </w: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производимой продукции самозанятыми гражданами и субъектами МСП;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- знакомство жителей области с продукцией местных производителей;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обучающей программы по навыкам продаж в ТРЦ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виде тренингов).</w:t>
            </w:r>
          </w:p>
        </w:tc>
      </w:tr>
    </w:tbl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 СПС(Т)К «Живое село»</w:t>
      </w: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095E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экономического развития Липецкой области, тел.</w:t>
            </w:r>
            <w:r w:rsidRPr="00CA095E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 xml:space="preserve"> + 7(4742) 22-84-56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Проект 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СПС(Т)К «Живое село»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Раскрытие туристического потенциала отдаленных от областного и районных центров территорий путем оказания имущественной поддержки субъектам МСП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село Преображеновка Липецкой области - место создания туристического комплекса «Живое село».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2021 году Дубровским районом Липецкой области оказана имущественная поддержка инвестору в виде предоставления 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аренду земельного участка из перечня муниципального имущества для предоставления субъектам МСП общей площадью 63265 кв.м сроком на 49 лет и установления льгот по оплате арендной: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в 1-й год аренды – 40 %, во 2-й год аренды - 60 %, в 3-й год аренды - 80 %, в 4-й год аренды и далее - 100 % размера арендной платы.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вложенных инвестиций составляет 30 млн руб.,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т.ч. 15 млн руб. – за счет средств регионального гранта «Инвестиционный».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За 2 года реализации проекта при региональной и муниципальной поддержке территория из абсолютно неблагоустроенной превратилось в точку притяжения туристов.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1) создан потенциал расширения сферы занятости сельского населения и новые рабочие места;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сохранение и возрождение культурного наследия (традиций, обрядов, ремесел, памятников природы, истории, религии 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культуры.</w:t>
            </w:r>
          </w:p>
        </w:tc>
      </w:tr>
    </w:tbl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095E" w:rsidRP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  <w:r w:rsidRPr="00CA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Коробочные решения Саратовской области.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АО «Корпорация развития Саратовской области», </w:t>
            </w:r>
          </w:p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 (8452) 79-69-96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Коробочные решения Саратовской области.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бизнеса на свободные инвестиционные площадки региона путем оказания имущественной поддержки субъектам МСП 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«Коробочное решение» – это готовый разработанный бизнес-кейс с привязкой к земельному участку, целевым направлением развития данной площадки, отражением информации по инженерной и транспортной инфраструктуре, достопримечательностям, мерам поддержки. 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На территории Саратовской области были реализованы следующие коробочные решения: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- в Марксовском муниципальном районе, которое включает оформление земельного участка, включенного в перечень имущества для предоставления субъектам МСП, в целях создания и развития базы отдыха (глэмпингов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>и кемпингов);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в Воскресенском муниципальном районе которое включает оформление земельного участка, включенного в перечень имущества для предоставления субъектам МСП, площадью 42,5 га.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Коробочные решения для инвестора включают федеральные и региональные меры, которые позволяют инвесторам эффективно выстраивать график реализации проекта и являются важным фактором при принятии решения о развитии бизнеса в регионе, к ним относятся: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предоставление земельных участков без торгов;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льготная ставка арендной платы за земельные участки в размере от 1% до 5% от кадастровой стоимости земельного участка;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снижение ставки налога на имущество с 2,2 до 0,1% на 5 лет при строительстве капитальных объектов;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пониженными налоговыми ставками при выборе упрощенной системы налогообложения;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льготным кредитованием по линии Фонда Микрокредитования Саратовской области</w:t>
            </w:r>
            <w:r w:rsidRPr="00CA09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1.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хозяйственный оборот земельных участков, расположенных на территории региона, имеющих туристический потенциал и пригодных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>для размещения туристических объектов;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2. </w:t>
            </w:r>
            <w:r w:rsidRPr="00CA095E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инвесторов при вхождении в регион, привлечение и поддержка внешних и внутренних инвесторов для реализации их проектов.</w:t>
            </w:r>
          </w:p>
        </w:tc>
      </w:tr>
    </w:tbl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816" w:rsidRDefault="00445EA9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Создание областного проекта «Объекты реновации»</w:t>
      </w:r>
    </w:p>
    <w:tbl>
      <w:tblPr>
        <w:tblStyle w:val="af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1842"/>
        <w:gridCol w:w="7082"/>
      </w:tblGrid>
      <w:tr w:rsidR="00060816" w:rsidTr="00445EA9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 w:rsidTr="00445EA9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</w:tr>
      <w:tr w:rsidR="00060816" w:rsidTr="00445EA9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 w:rsidP="00C2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проекта «Объекты реновации» 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тел.: 8 (3452) 69 01 69;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пециалист по вопросам аренды и ГЧП 8 (3452) 69 01 79 (2820);специалист по вопросам продажи 8 (3452) 69 01 78</w:t>
            </w:r>
          </w:p>
        </w:tc>
      </w:tr>
      <w:tr w:rsidR="00060816" w:rsidTr="00445EA9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областного проекта «Объекты реновации»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затрат на содержание объектов, находящихся в неудовлетворительном состоянии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Правительством Тюменской области создан областной проект «Объекты реновации», в который вошло 64 объекта недвижимости или 14 имущественных комплексов, предлагаемых инвесторам, в том числе субъектам МСП, на особых условиях.</w:t>
            </w:r>
          </w:p>
          <w:p w:rsidR="00060816" w:rsidRDefault="00445EA9">
            <w:pPr>
              <w:pStyle w:val="Standard"/>
              <w:jc w:val="both"/>
            </w:pPr>
            <w:r>
              <w:t>В рамках указанного проекта были сформированы:</w:t>
            </w:r>
          </w:p>
          <w:p w:rsidR="00060816" w:rsidRDefault="00445EA9">
            <w:pPr>
              <w:pStyle w:val="Standard"/>
              <w:jc w:val="both"/>
            </w:pPr>
            <w:r>
              <w:t>1) проектный комитет, к работе которого были привлечены специалисты как из имущественной и строительной сферы, так и из сферы развития и поддержки МСП и самого предпринимательского сообщества;</w:t>
            </w:r>
          </w:p>
          <w:p w:rsidR="00060816" w:rsidRDefault="00445EA9">
            <w:pPr>
              <w:pStyle w:val="Standard"/>
              <w:jc w:val="both"/>
            </w:pPr>
            <w:r>
              <w:t xml:space="preserve">2) отдельный портал, содержащий полную информацию об объектах реновации </w:t>
            </w:r>
            <w:hyperlink r:id="rId7" w:tooltip="http://renovation.72to.ru/" w:history="1">
              <w:r>
                <w:t>renovation.72to.ru</w:t>
              </w:r>
            </w:hyperlink>
            <w:r>
              <w:t>;</w:t>
            </w:r>
          </w:p>
          <w:p w:rsidR="00060816" w:rsidRDefault="00445EA9">
            <w:pPr>
              <w:pStyle w:val="Standard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3) условия аренды, предусматривающие проведение арендатором работ по восстановлению объекта и арендную плату после завершения работ в размере 1 руб. за 1 кв. м площади объекта в год до конца срока действия договора, срок которого может достигать 49 лет. Дополнительно не исключается возможность таких вариантов сотрудничества, как покупка или ГЧП для реализации отдельных видов деятельности;</w:t>
            </w:r>
          </w:p>
          <w:p w:rsidR="00060816" w:rsidRDefault="00445EA9">
            <w:pPr>
              <w:pStyle w:val="Standard"/>
              <w:widowControl/>
              <w:jc w:val="both"/>
            </w:pPr>
            <w:r>
              <w:t>4) ориентировочный размер сделки по аренде и продаже объекта;</w:t>
            </w:r>
          </w:p>
          <w:p w:rsidR="00060816" w:rsidRDefault="00445EA9">
            <w:pPr>
              <w:pStyle w:val="Standard"/>
              <w:widowControl/>
              <w:jc w:val="both"/>
            </w:pPr>
            <w:r>
              <w:t>5) варианты бизнес-идей по использованию каждого объекта;</w:t>
            </w:r>
          </w:p>
          <w:p w:rsidR="00060816" w:rsidRDefault="00445EA9">
            <w:pPr>
              <w:pStyle w:val="Standard"/>
              <w:widowControl/>
              <w:jc w:val="both"/>
            </w:pPr>
            <w:r>
              <w:t>6) система обратной связи для получения консультации или организации выезда на объект, а также произведена фото и видео фиксация объектов, определены условия подключения объектов к сетям инженерно-технического обеспечения</w:t>
            </w:r>
          </w:p>
          <w:p w:rsidR="00060816" w:rsidRDefault="0006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инвесторы, в том числе субъекты МСП, дают новую жизнь «старым» объектам и территориям, получив их на особых льготных условиях;</w:t>
            </w:r>
          </w:p>
          <w:p w:rsidR="00060816" w:rsidRDefault="00445EA9">
            <w:pPr>
              <w:pStyle w:val="af8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увеличивается количество необходимой для ведения бизнеса недвижимости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Передача в аренду на льготных условиях субъектам МСП объектов, требующих проведение капитального ремонта</w:t>
      </w:r>
    </w:p>
    <w:p w:rsidR="00445EA9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Тюмень (Тюменская область)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эксплуатации и реконструкции муниципального имущества Департамента имущественных отношений города Тюмени, тел.: 8 (3452) 51 36 41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c>
          <w:tcPr>
            <w:tcW w:w="421" w:type="dxa"/>
          </w:tcPr>
          <w:p w:rsidR="00060816" w:rsidRDefault="00445EA9" w:rsidP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аренду на льготных условиях субъектам МСП объектов, требующих проведение капитального ремонта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хозяйственный оборот объектов, требующих проведение капитального ремонта 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bCs/>
              </w:rPr>
              <w:t xml:space="preserve">При проведении </w:t>
            </w:r>
            <w:r>
              <w:rPr>
                <w:rFonts w:cs="Times New Roman"/>
                <w:bCs/>
                <w:color w:val="000000"/>
              </w:rPr>
              <w:t>капитального ремонта</w:t>
            </w:r>
            <w:r>
              <w:rPr>
                <w:rFonts w:cs="Times New Roman"/>
              </w:rPr>
              <w:t xml:space="preserve"> предусмотрено поэтапное</w:t>
            </w:r>
            <w:r>
              <w:rPr>
                <w:bCs/>
              </w:rPr>
              <w:t xml:space="preserve"> взаимодействие муниципального образования и субъектов МСП</w:t>
            </w:r>
            <w:r>
              <w:rPr>
                <w:rFonts w:cs="Times New Roman"/>
                <w:bCs/>
                <w:color w:val="000000"/>
              </w:rPr>
              <w:t>: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этап. Составление арендодателем дефектной ведомости на проведение капитального ремонта, заключение договора аренды по результатам торгов и формирование сметы на указанные работы.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этап. Выполнение арендатором работ по капитальному ремонту.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этап. Принятие арендодателем выполненных работ, проверка подтверждающих документов, и выдача заключения об их стоимости.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 течение всего срока договорных отношений устанавливаются следующие условия аренды объекта недвижимости: на период проведения работ – отсрочка от внесения арендной платы не более 6 месяцев, по итогам их завершения – освобождение от внесения арендной платы соразмерно понесенным затратам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имуществом;</w:t>
            </w:r>
          </w:p>
          <w:p w:rsidR="00060816" w:rsidRDefault="00445EA9">
            <w:pPr>
              <w:pStyle w:val="af8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спроса предпринимателей в предоставлении имущества, требующего капитального ремонта 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Методика оценки эффективности использования муниципального имущества, в том числе закрепленного за муниципальными предприятиями, учреждениями</w:t>
      </w:r>
    </w:p>
    <w:tbl>
      <w:tblPr>
        <w:tblStyle w:val="af7"/>
        <w:tblW w:w="0" w:type="auto"/>
        <w:tblLook w:val="04A0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Череповец (Вологодская область)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З</w:t>
            </w:r>
            <w:r w:rsidR="00445EA9">
              <w:rPr>
                <w:rFonts w:eastAsiaTheme="minorHAnsi"/>
                <w:b w:val="0"/>
                <w:bCs w:val="0"/>
                <w:lang w:eastAsia="en-US"/>
              </w:rPr>
              <w:t xml:space="preserve">аместитель председателя комитета по управлению имуществом города Череповца, начальник отдела муниципальной собственности и ведения реестра, 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тел.: 8 (951) 734 85 95</w:t>
            </w:r>
          </w:p>
          <w:p w:rsidR="00060816" w:rsidRDefault="0006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оценки эффективности использования муниципального имущества, в том числе закрепленного за муниципальными предприятиями, учреждениями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неиспользуемого, неэффективно используемого имущества, в том числе закрепленного за муниципальными предприятиями, учреждениями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имущества проводится в отношении отдельных групп имущества на ежегодной основе с использованием программного модуля АИС «Земельно-имущественный комплекс».</w:t>
            </w:r>
          </w:p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программном модуле на основании разработанных форм осуществляется сбор информации в отношении имущества казны, муниципальных учреждений и предприятий, и ее анализ по критериям эффективности (коммерческая, бюджетная, социальная), включающим в себя показатели эффективности, определяющиеся в соответствии с установленным нормативным значением (процент или среднее арифметическое).</w:t>
            </w:r>
          </w:p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проведенных мероприятий куратор формирует перечень объектов, имеющих отклонения от нормативного значения показателя, в отношении которых проводятся проверки и в последующем готовятся рекомендации по их дальнейшему использованию.</w:t>
            </w:r>
          </w:p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работа также позволила выявить имущество, пригодное для предоставления субъектам МСП, в том числе земельные участки, государственная собственность на которые не разграничена, и включить их перечень муниципального имущества</w:t>
            </w:r>
          </w:p>
          <w:p w:rsidR="00060816" w:rsidRDefault="000608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неиспользуемого, неэффективно используемого имущества;</w:t>
            </w:r>
          </w:p>
          <w:p w:rsidR="00060816" w:rsidRDefault="00445EA9">
            <w:pPr>
              <w:pStyle w:val="af8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снижение затрат на содержание объектов, находящихся в муниципальной собственности;</w:t>
            </w:r>
          </w:p>
          <w:p w:rsidR="00060816" w:rsidRDefault="00445EA9">
            <w:pPr>
              <w:pStyle w:val="af8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социальной эффективности деятельности муниципальных предприятий, учреждений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Внедрение единой информационной системы по учету и ведению реестров государственного, муниципального имущества</w:t>
      </w:r>
    </w:p>
    <w:tbl>
      <w:tblPr>
        <w:tblStyle w:val="af7"/>
        <w:tblW w:w="0" w:type="auto"/>
        <w:tblLook w:val="04A0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outlineLvl w:val="3"/>
            </w:pPr>
            <w:r>
              <w:rPr>
                <w:b w:val="0"/>
                <w:bCs w:val="0"/>
                <w:color w:val="000000"/>
                <w:lang w:eastAsia="en-US"/>
              </w:rPr>
              <w:t>Руцкая Ольга Валентиновна, начальник отдела учёта государственной собственности Минимущества Республики Коми, тел.: 8 (8212) 30 16 55 (1035)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единой информационной системы по учету и ведению реестров государственного, муниципального имущества</w:t>
            </w:r>
          </w:p>
          <w:p w:rsidR="00060816" w:rsidRDefault="0006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государственным и муниципальным имуществом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 территории Республики Коми в 2014 году введена в эксплуатацию автоматизированная система «Учет и управление объектами государственной собственности Республики Коми и муниципальной собственности» (далее – АСУС). Доступ к АСУС предоставлен органам исполнительной власти и органам местного самоуправления региона, а также балансодержателям имущества. Основные функции АСУС: ведение реестров имущества, учет правоотношений и правоустанавливающих документов, администрирование неналоговых доходов от использования, работа с геоданными объектов учета. На основании ежеквартальной выгрузки из АСУС формируются наборы данных с информацией об объектах государственной и муниципальной собственности (недвижимое имущество, земельные участки, движимое имущество, акции, доли в уставном капитале), которые размещаются в сети «Интернет» на портале открытых данных Республики </w:t>
            </w:r>
            <w:r>
              <w:rPr>
                <w:rFonts w:eastAsia="Times New Roman" w:cs="Times New Roman"/>
              </w:rPr>
              <w:t>Коми (</w:t>
            </w:r>
            <w:hyperlink r:id="rId8" w:tooltip="http://opendata.rkomi.ru" w:history="1">
              <w:r>
                <w:rPr>
                  <w:rStyle w:val="af9"/>
                  <w:rFonts w:eastAsia="Times New Roman" w:cs="Times New Roman"/>
                  <w:lang w:val="en-US"/>
                </w:rPr>
                <w:t>http</w:t>
              </w:r>
              <w:r>
                <w:rPr>
                  <w:rStyle w:val="af9"/>
                  <w:rFonts w:eastAsia="Times New Roman" w:cs="Times New Roman"/>
                </w:rPr>
                <w:t>://</w:t>
              </w:r>
              <w:r>
                <w:rPr>
                  <w:rStyle w:val="af9"/>
                  <w:rFonts w:eastAsia="Times New Roman" w:cs="Times New Roman"/>
                  <w:lang w:val="en-US"/>
                </w:rPr>
                <w:t>opendata</w:t>
              </w:r>
              <w:r>
                <w:rPr>
                  <w:rStyle w:val="af9"/>
                  <w:rFonts w:eastAsia="Times New Roman" w:cs="Times New Roman"/>
                </w:rPr>
                <w:t>.</w:t>
              </w:r>
              <w:r>
                <w:rPr>
                  <w:rStyle w:val="af9"/>
                  <w:rFonts w:eastAsia="Times New Roman" w:cs="Times New Roman"/>
                  <w:lang w:val="en-US"/>
                </w:rPr>
                <w:t>rkomi</w:t>
              </w:r>
              <w:r>
                <w:rPr>
                  <w:rStyle w:val="af9"/>
                  <w:rFonts w:eastAsia="Times New Roman" w:cs="Times New Roman"/>
                </w:rPr>
                <w:t>.</w:t>
              </w:r>
              <w:r>
                <w:rPr>
                  <w:rStyle w:val="af9"/>
                  <w:rFonts w:eastAsia="Times New Roman" w:cs="Times New Roman"/>
                  <w:lang w:val="en-US"/>
                </w:rPr>
                <w:t>ru</w:t>
              </w:r>
            </w:hyperlink>
            <w:r>
              <w:rPr>
                <w:rFonts w:eastAsia="Times New Roman" w:cs="Times New Roman"/>
              </w:rPr>
              <w:t>).</w:t>
            </w:r>
          </w:p>
          <w:p w:rsidR="00060816" w:rsidRDefault="00060816">
            <w:pPr>
              <w:pStyle w:val="Standard"/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cs="Times New Roman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34" w:hanging="34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межведомственное электронное взаимодействие;</w:t>
            </w:r>
          </w:p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актуальная база данных, отсутствие неучтенных объектов;</w:t>
            </w:r>
          </w:p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доступность и открытость информации о государственном и муниципальном имуществе;</w:t>
            </w:r>
          </w:p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выявление неиспользуемого имущества, принятие решений по распоряжению таким имуществом;</w:t>
            </w:r>
          </w:p>
          <w:p w:rsidR="00060816" w:rsidRPr="0041052F" w:rsidRDefault="00445EA9" w:rsidP="0041052F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контроль эффективности деятельности государственных и муниципальных предприятий и учреждений.</w:t>
            </w:r>
            <w:bookmarkStart w:id="0" w:name="_GoBack"/>
            <w:bookmarkEnd w:id="0"/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работы межведомственной рабочей группы по оказанию имущественной поддержки субъектам МСП</w:t>
      </w:r>
    </w:p>
    <w:tbl>
      <w:tblPr>
        <w:tblStyle w:val="af7"/>
        <w:tblW w:w="0" w:type="auto"/>
        <w:tblLook w:val="04A0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Н</w:t>
            </w:r>
            <w:r w:rsidR="00445EA9">
              <w:rPr>
                <w:b w:val="0"/>
              </w:rPr>
              <w:t xml:space="preserve">ачальник отдела по распоряжению госимуществом Министерства природных ресурсов, экологии и имущественных отношений Оренбургской области, 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тел.: 8 (3532) 98 79 42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межведомственной рабочей группы по оказанию имущественной поддержки субъектам МСП</w:t>
            </w:r>
          </w:p>
          <w:p w:rsidR="00060816" w:rsidRDefault="0006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государственной власти субъекта Российской Федерации с органами местного самоуправления, территориальным органом Росмущества по вопросам оказания имущественной поддержки субъектам МСП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 территории Оренбургской области рабочая группа по имущественной поддержке субъектов МСП создана в регионе и 29 муниципальных районах, основными задачами которых является расширение оказания имущественной поддержки субъектам МСП и реализация задач национального, федерального проектов. 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Рабочей группой проводится: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1) анализ принятых муниципальными образованиями НПА по вопросам оказания имущественной поддержки субъектам МСП;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2) выявление неэффективно используемых объектов для передачи в аренду субъектам МСП;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3) выработка предложений по расширению доступа субъектов МСП к информации об объектах государственного и муниципального имущества;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4) оценка работы органов местного самоуправления по вопросам оказания имущественной поддержки субъектам МСП.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 регулярной основе муниципальными рабочими группами проводится анализ объектов казны, земельных участков и объектов, закрепленных за муниципальными учреждениями и предприятиями. Каждому объекту дается характеристика по его назначению, состоянию и дельнейшему использованию. По результатам проведенных мероприятий в имущество включается в перечни имущества. </w:t>
            </w:r>
          </w:p>
          <w:p w:rsidR="00060816" w:rsidRPr="0041052F" w:rsidRDefault="00445EA9" w:rsidP="0041052F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Все протокольные решения межведомственной рабочей группы региона находятся на контроле в министерстве, проводится мониторинг их исполнения.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оказания имущественной поддержки субъектам МСП, улучшение ее условий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Практика предоставления государственного имущества субъектам малого и среднего предпринимательства и самозанятым гражданам </w:t>
      </w:r>
      <w:r>
        <w:rPr>
          <w:rFonts w:ascii="Times New Roman" w:hAnsi="Times New Roman"/>
          <w:b/>
          <w:sz w:val="28"/>
          <w:szCs w:val="28"/>
        </w:rPr>
        <w:br/>
        <w:t>в порядке преференции</w:t>
      </w:r>
    </w:p>
    <w:tbl>
      <w:tblPr>
        <w:tblStyle w:val="af7"/>
        <w:tblW w:w="0" w:type="auto"/>
        <w:tblLook w:val="04A0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 w:rsidP="00C214A5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Н</w:t>
            </w:r>
            <w:r w:rsidR="00445EA9">
              <w:rPr>
                <w:b w:val="0"/>
              </w:rPr>
              <w:t>ачальник отдела по управлению государственным имуществом Комитета Республики Коми имущественных и земельных отношений, тел (8212)301-655 (доб. 1028), o.l.kolegova@amp.rkomi.ru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>
              <w:rPr>
                <w:b w:val="0"/>
              </w:rPr>
              <w:t>Практика предоставления государственного имущества субъектам малого и среднего предпринимательства и самозанятым гражданам в порядке преференции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>
              <w:rPr>
                <w:b w:val="0"/>
              </w:rPr>
              <w:t xml:space="preserve">Сокращение сроков и упрощение процедуры предоставления государственного имущества субъектам малого и среднего предпринимательства и самозанятым гражданам 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Передача субъектам МСП и самозанятым гражданам в аренду недвижимого государственного имущества, включенного в перечень для субъектов МСП осуществляется: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1) без проведения процедуры торгов и без согласования антимонопольного органа – является государственной преференцией, установленной в государственной программе Республики Коми «Развитие экономики» (Постановление Правительства Республики Коми от 31 октября 2019 года № 521);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2) при определении годовой арендной платы за пользование государственным имуществом Республики Коми не проводится оценка рыночной стоимости (Постановление Правительства Республики Коми от 06 декабря 2002 г. № 200):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– размер арендной платы определяется расчётным способом с учётом специфики деятельности субъектов МСП и характеристик объекта (имущества);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– начинающим субъектам малого предпринимательства установлена фиксированная льготная ставка арендной платы в размере 829 рублей за один квадратный метр в год в течение трех лет с даты их государственной регистрации;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– для субъектов МСП, являющихся сельскохозяйственными товаропроизводителями либо сельскохозяйственными кооперативами установлена арендная плата в размере 554 рубля за один квадратный метр в год;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>
              <w:rPr>
                <w:b w:val="0"/>
              </w:rPr>
              <w:t>– субъекты МСП, занимающиеся социально значимыми видами деятельности, освобождаются от арендной платы за первый месяц использования арендуемого имущества.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 xml:space="preserve">Сокращение сроков предоставления государственного имущества в аренду до 20 рабочих дней с даты обращения предпринимателя, унификация и упрощение процедуры предоставления, экономия бюджетных средств на проведение процедуры оценки рыночной стоимости аренды объекта. </w:t>
            </w:r>
          </w:p>
        </w:tc>
      </w:tr>
    </w:tbl>
    <w:p w:rsidR="00060816" w:rsidRDefault="00060816"/>
    <w:sectPr w:rsidR="00060816" w:rsidSect="0037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AD" w:rsidRDefault="00B516AD">
      <w:pPr>
        <w:spacing w:after="0" w:line="240" w:lineRule="auto"/>
      </w:pPr>
      <w:r>
        <w:separator/>
      </w:r>
    </w:p>
  </w:endnote>
  <w:endnote w:type="continuationSeparator" w:id="1">
    <w:p w:rsidR="00B516AD" w:rsidRDefault="00B5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AD" w:rsidRDefault="00B516AD">
      <w:pPr>
        <w:spacing w:after="0" w:line="240" w:lineRule="auto"/>
      </w:pPr>
      <w:r>
        <w:separator/>
      </w:r>
    </w:p>
  </w:footnote>
  <w:footnote w:type="continuationSeparator" w:id="1">
    <w:p w:rsidR="00B516AD" w:rsidRDefault="00B5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E4C"/>
    <w:multiLevelType w:val="hybridMultilevel"/>
    <w:tmpl w:val="C6EA8C16"/>
    <w:lvl w:ilvl="0" w:tplc="C638D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C0F16A">
      <w:start w:val="1"/>
      <w:numFmt w:val="lowerLetter"/>
      <w:lvlText w:val="%2."/>
      <w:lvlJc w:val="left"/>
      <w:pPr>
        <w:ind w:left="1440" w:hanging="360"/>
      </w:pPr>
    </w:lvl>
    <w:lvl w:ilvl="2" w:tplc="339C79A2">
      <w:start w:val="1"/>
      <w:numFmt w:val="lowerRoman"/>
      <w:lvlText w:val="%3."/>
      <w:lvlJc w:val="right"/>
      <w:pPr>
        <w:ind w:left="2160" w:hanging="180"/>
      </w:pPr>
    </w:lvl>
    <w:lvl w:ilvl="3" w:tplc="B39ABB26">
      <w:start w:val="1"/>
      <w:numFmt w:val="decimal"/>
      <w:lvlText w:val="%4."/>
      <w:lvlJc w:val="left"/>
      <w:pPr>
        <w:ind w:left="2880" w:hanging="360"/>
      </w:pPr>
    </w:lvl>
    <w:lvl w:ilvl="4" w:tplc="153ABF4A">
      <w:start w:val="1"/>
      <w:numFmt w:val="lowerLetter"/>
      <w:lvlText w:val="%5."/>
      <w:lvlJc w:val="left"/>
      <w:pPr>
        <w:ind w:left="3600" w:hanging="360"/>
      </w:pPr>
    </w:lvl>
    <w:lvl w:ilvl="5" w:tplc="FB6A95C8">
      <w:start w:val="1"/>
      <w:numFmt w:val="lowerRoman"/>
      <w:lvlText w:val="%6."/>
      <w:lvlJc w:val="right"/>
      <w:pPr>
        <w:ind w:left="4320" w:hanging="180"/>
      </w:pPr>
    </w:lvl>
    <w:lvl w:ilvl="6" w:tplc="9C0C1518">
      <w:start w:val="1"/>
      <w:numFmt w:val="decimal"/>
      <w:lvlText w:val="%7."/>
      <w:lvlJc w:val="left"/>
      <w:pPr>
        <w:ind w:left="5040" w:hanging="360"/>
      </w:pPr>
    </w:lvl>
    <w:lvl w:ilvl="7" w:tplc="7FEAA1C0">
      <w:start w:val="1"/>
      <w:numFmt w:val="lowerLetter"/>
      <w:lvlText w:val="%8."/>
      <w:lvlJc w:val="left"/>
      <w:pPr>
        <w:ind w:left="5760" w:hanging="360"/>
      </w:pPr>
    </w:lvl>
    <w:lvl w:ilvl="8" w:tplc="B70CE1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282B"/>
    <w:multiLevelType w:val="hybridMultilevel"/>
    <w:tmpl w:val="2BF4A7C2"/>
    <w:lvl w:ilvl="0" w:tplc="9022D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4E43"/>
    <w:multiLevelType w:val="multilevel"/>
    <w:tmpl w:val="47EA6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813FC"/>
    <w:multiLevelType w:val="hybridMultilevel"/>
    <w:tmpl w:val="D5FE2EA8"/>
    <w:lvl w:ilvl="0" w:tplc="16ECA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A3C9B"/>
    <w:multiLevelType w:val="hybridMultilevel"/>
    <w:tmpl w:val="DCAAE9F4"/>
    <w:lvl w:ilvl="0" w:tplc="2A56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02E5"/>
    <w:multiLevelType w:val="hybridMultilevel"/>
    <w:tmpl w:val="724EACF0"/>
    <w:lvl w:ilvl="0" w:tplc="FEB86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FEC0D0">
      <w:start w:val="1"/>
      <w:numFmt w:val="lowerLetter"/>
      <w:lvlText w:val="%2."/>
      <w:lvlJc w:val="left"/>
      <w:pPr>
        <w:ind w:left="1789" w:hanging="360"/>
      </w:pPr>
    </w:lvl>
    <w:lvl w:ilvl="2" w:tplc="8AD81FB6">
      <w:start w:val="1"/>
      <w:numFmt w:val="lowerRoman"/>
      <w:lvlText w:val="%3."/>
      <w:lvlJc w:val="right"/>
      <w:pPr>
        <w:ind w:left="2509" w:hanging="180"/>
      </w:pPr>
    </w:lvl>
    <w:lvl w:ilvl="3" w:tplc="0600AD06">
      <w:start w:val="1"/>
      <w:numFmt w:val="decimal"/>
      <w:lvlText w:val="%4."/>
      <w:lvlJc w:val="left"/>
      <w:pPr>
        <w:ind w:left="3229" w:hanging="360"/>
      </w:pPr>
    </w:lvl>
    <w:lvl w:ilvl="4" w:tplc="3E884F5A">
      <w:start w:val="1"/>
      <w:numFmt w:val="lowerLetter"/>
      <w:lvlText w:val="%5."/>
      <w:lvlJc w:val="left"/>
      <w:pPr>
        <w:ind w:left="3949" w:hanging="360"/>
      </w:pPr>
    </w:lvl>
    <w:lvl w:ilvl="5" w:tplc="AACA7400">
      <w:start w:val="1"/>
      <w:numFmt w:val="lowerRoman"/>
      <w:lvlText w:val="%6."/>
      <w:lvlJc w:val="right"/>
      <w:pPr>
        <w:ind w:left="4669" w:hanging="180"/>
      </w:pPr>
    </w:lvl>
    <w:lvl w:ilvl="6" w:tplc="B9BE67C4">
      <w:start w:val="1"/>
      <w:numFmt w:val="decimal"/>
      <w:lvlText w:val="%7."/>
      <w:lvlJc w:val="left"/>
      <w:pPr>
        <w:ind w:left="5389" w:hanging="360"/>
      </w:pPr>
    </w:lvl>
    <w:lvl w:ilvl="7" w:tplc="44B8CDB4">
      <w:start w:val="1"/>
      <w:numFmt w:val="lowerLetter"/>
      <w:lvlText w:val="%8."/>
      <w:lvlJc w:val="left"/>
      <w:pPr>
        <w:ind w:left="6109" w:hanging="360"/>
      </w:pPr>
    </w:lvl>
    <w:lvl w:ilvl="8" w:tplc="EC029D3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A54B6"/>
    <w:multiLevelType w:val="hybridMultilevel"/>
    <w:tmpl w:val="3AFAF6A6"/>
    <w:lvl w:ilvl="0" w:tplc="C78A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AD51E">
      <w:start w:val="1"/>
      <w:numFmt w:val="lowerLetter"/>
      <w:lvlText w:val="%2."/>
      <w:lvlJc w:val="left"/>
      <w:pPr>
        <w:ind w:left="1440" w:hanging="360"/>
      </w:pPr>
    </w:lvl>
    <w:lvl w:ilvl="2" w:tplc="707A921A">
      <w:start w:val="1"/>
      <w:numFmt w:val="lowerRoman"/>
      <w:lvlText w:val="%3."/>
      <w:lvlJc w:val="right"/>
      <w:pPr>
        <w:ind w:left="2160" w:hanging="180"/>
      </w:pPr>
    </w:lvl>
    <w:lvl w:ilvl="3" w:tplc="71C65C42">
      <w:start w:val="1"/>
      <w:numFmt w:val="decimal"/>
      <w:lvlText w:val="%4."/>
      <w:lvlJc w:val="left"/>
      <w:pPr>
        <w:ind w:left="2880" w:hanging="360"/>
      </w:pPr>
    </w:lvl>
    <w:lvl w:ilvl="4" w:tplc="BF2EEC1A">
      <w:start w:val="1"/>
      <w:numFmt w:val="lowerLetter"/>
      <w:lvlText w:val="%5."/>
      <w:lvlJc w:val="left"/>
      <w:pPr>
        <w:ind w:left="3600" w:hanging="360"/>
      </w:pPr>
    </w:lvl>
    <w:lvl w:ilvl="5" w:tplc="5A80534A">
      <w:start w:val="1"/>
      <w:numFmt w:val="lowerRoman"/>
      <w:lvlText w:val="%6."/>
      <w:lvlJc w:val="right"/>
      <w:pPr>
        <w:ind w:left="4320" w:hanging="180"/>
      </w:pPr>
    </w:lvl>
    <w:lvl w:ilvl="6" w:tplc="ACBAF5C2">
      <w:start w:val="1"/>
      <w:numFmt w:val="decimal"/>
      <w:lvlText w:val="%7."/>
      <w:lvlJc w:val="left"/>
      <w:pPr>
        <w:ind w:left="5040" w:hanging="360"/>
      </w:pPr>
    </w:lvl>
    <w:lvl w:ilvl="7" w:tplc="C2F6F958">
      <w:start w:val="1"/>
      <w:numFmt w:val="lowerLetter"/>
      <w:lvlText w:val="%8."/>
      <w:lvlJc w:val="left"/>
      <w:pPr>
        <w:ind w:left="5760" w:hanging="360"/>
      </w:pPr>
    </w:lvl>
    <w:lvl w:ilvl="8" w:tplc="3CA4D8C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D3CB1"/>
    <w:multiLevelType w:val="multilevel"/>
    <w:tmpl w:val="14EC1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94002"/>
    <w:multiLevelType w:val="hybridMultilevel"/>
    <w:tmpl w:val="168E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2377C"/>
    <w:multiLevelType w:val="hybridMultilevel"/>
    <w:tmpl w:val="8724EB5E"/>
    <w:lvl w:ilvl="0" w:tplc="2D56B7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C42075CA">
      <w:start w:val="1"/>
      <w:numFmt w:val="lowerLetter"/>
      <w:lvlText w:val="%2."/>
      <w:lvlJc w:val="left"/>
      <w:pPr>
        <w:ind w:left="1440" w:hanging="360"/>
      </w:pPr>
    </w:lvl>
    <w:lvl w:ilvl="2" w:tplc="36DC2354">
      <w:start w:val="1"/>
      <w:numFmt w:val="lowerRoman"/>
      <w:lvlText w:val="%3."/>
      <w:lvlJc w:val="right"/>
      <w:pPr>
        <w:ind w:left="2160" w:hanging="180"/>
      </w:pPr>
    </w:lvl>
    <w:lvl w:ilvl="3" w:tplc="B478F6D4">
      <w:start w:val="1"/>
      <w:numFmt w:val="decimal"/>
      <w:lvlText w:val="%4."/>
      <w:lvlJc w:val="left"/>
      <w:pPr>
        <w:ind w:left="2880" w:hanging="360"/>
      </w:pPr>
    </w:lvl>
    <w:lvl w:ilvl="4" w:tplc="B1A6A26C">
      <w:start w:val="1"/>
      <w:numFmt w:val="lowerLetter"/>
      <w:lvlText w:val="%5."/>
      <w:lvlJc w:val="left"/>
      <w:pPr>
        <w:ind w:left="3600" w:hanging="360"/>
      </w:pPr>
    </w:lvl>
    <w:lvl w:ilvl="5" w:tplc="A6466E62">
      <w:start w:val="1"/>
      <w:numFmt w:val="lowerRoman"/>
      <w:lvlText w:val="%6."/>
      <w:lvlJc w:val="right"/>
      <w:pPr>
        <w:ind w:left="4320" w:hanging="180"/>
      </w:pPr>
    </w:lvl>
    <w:lvl w:ilvl="6" w:tplc="2E2A47DC">
      <w:start w:val="1"/>
      <w:numFmt w:val="decimal"/>
      <w:lvlText w:val="%7."/>
      <w:lvlJc w:val="left"/>
      <w:pPr>
        <w:ind w:left="5040" w:hanging="360"/>
      </w:pPr>
    </w:lvl>
    <w:lvl w:ilvl="7" w:tplc="317E0E56">
      <w:start w:val="1"/>
      <w:numFmt w:val="lowerLetter"/>
      <w:lvlText w:val="%8."/>
      <w:lvlJc w:val="left"/>
      <w:pPr>
        <w:ind w:left="5760" w:hanging="360"/>
      </w:pPr>
    </w:lvl>
    <w:lvl w:ilvl="8" w:tplc="4734EFF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E3B35"/>
    <w:multiLevelType w:val="hybridMultilevel"/>
    <w:tmpl w:val="49A84084"/>
    <w:lvl w:ilvl="0" w:tplc="8496D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B524486">
      <w:start w:val="1"/>
      <w:numFmt w:val="lowerLetter"/>
      <w:lvlText w:val="%2."/>
      <w:lvlJc w:val="left"/>
      <w:pPr>
        <w:ind w:left="1789" w:hanging="360"/>
      </w:pPr>
    </w:lvl>
    <w:lvl w:ilvl="2" w:tplc="293413CC">
      <w:start w:val="1"/>
      <w:numFmt w:val="lowerRoman"/>
      <w:lvlText w:val="%3."/>
      <w:lvlJc w:val="right"/>
      <w:pPr>
        <w:ind w:left="2509" w:hanging="180"/>
      </w:pPr>
    </w:lvl>
    <w:lvl w:ilvl="3" w:tplc="C67065FA">
      <w:start w:val="1"/>
      <w:numFmt w:val="decimal"/>
      <w:lvlText w:val="%4."/>
      <w:lvlJc w:val="left"/>
      <w:pPr>
        <w:ind w:left="3229" w:hanging="360"/>
      </w:pPr>
    </w:lvl>
    <w:lvl w:ilvl="4" w:tplc="B46C04FE">
      <w:start w:val="1"/>
      <w:numFmt w:val="lowerLetter"/>
      <w:lvlText w:val="%5."/>
      <w:lvlJc w:val="left"/>
      <w:pPr>
        <w:ind w:left="3949" w:hanging="360"/>
      </w:pPr>
    </w:lvl>
    <w:lvl w:ilvl="5" w:tplc="DB062C04">
      <w:start w:val="1"/>
      <w:numFmt w:val="lowerRoman"/>
      <w:lvlText w:val="%6."/>
      <w:lvlJc w:val="right"/>
      <w:pPr>
        <w:ind w:left="4669" w:hanging="180"/>
      </w:pPr>
    </w:lvl>
    <w:lvl w:ilvl="6" w:tplc="112C1C84">
      <w:start w:val="1"/>
      <w:numFmt w:val="decimal"/>
      <w:lvlText w:val="%7."/>
      <w:lvlJc w:val="left"/>
      <w:pPr>
        <w:ind w:left="5389" w:hanging="360"/>
      </w:pPr>
    </w:lvl>
    <w:lvl w:ilvl="7" w:tplc="78087038">
      <w:start w:val="1"/>
      <w:numFmt w:val="lowerLetter"/>
      <w:lvlText w:val="%8."/>
      <w:lvlJc w:val="left"/>
      <w:pPr>
        <w:ind w:left="6109" w:hanging="360"/>
      </w:pPr>
    </w:lvl>
    <w:lvl w:ilvl="8" w:tplc="A6A45A7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B000AA"/>
    <w:multiLevelType w:val="hybridMultilevel"/>
    <w:tmpl w:val="4DE4BC3E"/>
    <w:lvl w:ilvl="0" w:tplc="2AFC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4F486">
      <w:start w:val="1"/>
      <w:numFmt w:val="lowerLetter"/>
      <w:lvlText w:val="%2."/>
      <w:lvlJc w:val="left"/>
      <w:pPr>
        <w:ind w:left="1440" w:hanging="360"/>
      </w:pPr>
    </w:lvl>
    <w:lvl w:ilvl="2" w:tplc="81CC04FE">
      <w:start w:val="1"/>
      <w:numFmt w:val="lowerRoman"/>
      <w:lvlText w:val="%3."/>
      <w:lvlJc w:val="right"/>
      <w:pPr>
        <w:ind w:left="2160" w:hanging="180"/>
      </w:pPr>
    </w:lvl>
    <w:lvl w:ilvl="3" w:tplc="EE6E8720">
      <w:start w:val="1"/>
      <w:numFmt w:val="decimal"/>
      <w:lvlText w:val="%4."/>
      <w:lvlJc w:val="left"/>
      <w:pPr>
        <w:ind w:left="2880" w:hanging="360"/>
      </w:pPr>
    </w:lvl>
    <w:lvl w:ilvl="4" w:tplc="6FE2A56C">
      <w:start w:val="1"/>
      <w:numFmt w:val="lowerLetter"/>
      <w:lvlText w:val="%5."/>
      <w:lvlJc w:val="left"/>
      <w:pPr>
        <w:ind w:left="3600" w:hanging="360"/>
      </w:pPr>
    </w:lvl>
    <w:lvl w:ilvl="5" w:tplc="C03EB5E4">
      <w:start w:val="1"/>
      <w:numFmt w:val="lowerRoman"/>
      <w:lvlText w:val="%6."/>
      <w:lvlJc w:val="right"/>
      <w:pPr>
        <w:ind w:left="4320" w:hanging="180"/>
      </w:pPr>
    </w:lvl>
    <w:lvl w:ilvl="6" w:tplc="9F261C8A">
      <w:start w:val="1"/>
      <w:numFmt w:val="decimal"/>
      <w:lvlText w:val="%7."/>
      <w:lvlJc w:val="left"/>
      <w:pPr>
        <w:ind w:left="5040" w:hanging="360"/>
      </w:pPr>
    </w:lvl>
    <w:lvl w:ilvl="7" w:tplc="4DE26D06">
      <w:start w:val="1"/>
      <w:numFmt w:val="lowerLetter"/>
      <w:lvlText w:val="%8."/>
      <w:lvlJc w:val="left"/>
      <w:pPr>
        <w:ind w:left="5760" w:hanging="360"/>
      </w:pPr>
    </w:lvl>
    <w:lvl w:ilvl="8" w:tplc="1F0427C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C0C12"/>
    <w:multiLevelType w:val="hybridMultilevel"/>
    <w:tmpl w:val="66D2FF82"/>
    <w:lvl w:ilvl="0" w:tplc="E9F89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2B4D8">
      <w:start w:val="1"/>
      <w:numFmt w:val="lowerLetter"/>
      <w:lvlText w:val="%2."/>
      <w:lvlJc w:val="left"/>
      <w:pPr>
        <w:ind w:left="1440" w:hanging="360"/>
      </w:pPr>
    </w:lvl>
    <w:lvl w:ilvl="2" w:tplc="78C48876">
      <w:start w:val="1"/>
      <w:numFmt w:val="lowerRoman"/>
      <w:lvlText w:val="%3."/>
      <w:lvlJc w:val="right"/>
      <w:pPr>
        <w:ind w:left="2160" w:hanging="180"/>
      </w:pPr>
    </w:lvl>
    <w:lvl w:ilvl="3" w:tplc="A96AB6C0">
      <w:start w:val="1"/>
      <w:numFmt w:val="decimal"/>
      <w:lvlText w:val="%4."/>
      <w:lvlJc w:val="left"/>
      <w:pPr>
        <w:ind w:left="2880" w:hanging="360"/>
      </w:pPr>
    </w:lvl>
    <w:lvl w:ilvl="4" w:tplc="5CF6CFE4">
      <w:start w:val="1"/>
      <w:numFmt w:val="lowerLetter"/>
      <w:lvlText w:val="%5."/>
      <w:lvlJc w:val="left"/>
      <w:pPr>
        <w:ind w:left="3600" w:hanging="360"/>
      </w:pPr>
    </w:lvl>
    <w:lvl w:ilvl="5" w:tplc="074E845A">
      <w:start w:val="1"/>
      <w:numFmt w:val="lowerRoman"/>
      <w:lvlText w:val="%6."/>
      <w:lvlJc w:val="right"/>
      <w:pPr>
        <w:ind w:left="4320" w:hanging="180"/>
      </w:pPr>
    </w:lvl>
    <w:lvl w:ilvl="6" w:tplc="1526CBB4">
      <w:start w:val="1"/>
      <w:numFmt w:val="decimal"/>
      <w:lvlText w:val="%7."/>
      <w:lvlJc w:val="left"/>
      <w:pPr>
        <w:ind w:left="5040" w:hanging="360"/>
      </w:pPr>
    </w:lvl>
    <w:lvl w:ilvl="7" w:tplc="358E0224">
      <w:start w:val="1"/>
      <w:numFmt w:val="lowerLetter"/>
      <w:lvlText w:val="%8."/>
      <w:lvlJc w:val="left"/>
      <w:pPr>
        <w:ind w:left="5760" w:hanging="360"/>
      </w:pPr>
    </w:lvl>
    <w:lvl w:ilvl="8" w:tplc="8A44D95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238A2"/>
    <w:multiLevelType w:val="hybridMultilevel"/>
    <w:tmpl w:val="095C5B8A"/>
    <w:lvl w:ilvl="0" w:tplc="77FA3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71856"/>
    <w:multiLevelType w:val="hybridMultilevel"/>
    <w:tmpl w:val="99A00310"/>
    <w:lvl w:ilvl="0" w:tplc="CE701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B84B9A">
      <w:start w:val="1"/>
      <w:numFmt w:val="lowerLetter"/>
      <w:lvlText w:val="%2."/>
      <w:lvlJc w:val="left"/>
      <w:pPr>
        <w:ind w:left="1440" w:hanging="360"/>
      </w:pPr>
    </w:lvl>
    <w:lvl w:ilvl="2" w:tplc="B78622E4">
      <w:start w:val="1"/>
      <w:numFmt w:val="lowerRoman"/>
      <w:lvlText w:val="%3."/>
      <w:lvlJc w:val="right"/>
      <w:pPr>
        <w:ind w:left="2160" w:hanging="180"/>
      </w:pPr>
    </w:lvl>
    <w:lvl w:ilvl="3" w:tplc="CA0CE002">
      <w:start w:val="1"/>
      <w:numFmt w:val="decimal"/>
      <w:lvlText w:val="%4."/>
      <w:lvlJc w:val="left"/>
      <w:pPr>
        <w:ind w:left="2880" w:hanging="360"/>
      </w:pPr>
    </w:lvl>
    <w:lvl w:ilvl="4" w:tplc="4ED0F48C">
      <w:start w:val="1"/>
      <w:numFmt w:val="lowerLetter"/>
      <w:lvlText w:val="%5."/>
      <w:lvlJc w:val="left"/>
      <w:pPr>
        <w:ind w:left="3600" w:hanging="360"/>
      </w:pPr>
    </w:lvl>
    <w:lvl w:ilvl="5" w:tplc="546C3AF6">
      <w:start w:val="1"/>
      <w:numFmt w:val="lowerRoman"/>
      <w:lvlText w:val="%6."/>
      <w:lvlJc w:val="right"/>
      <w:pPr>
        <w:ind w:left="4320" w:hanging="180"/>
      </w:pPr>
    </w:lvl>
    <w:lvl w:ilvl="6" w:tplc="61F8C798">
      <w:start w:val="1"/>
      <w:numFmt w:val="decimal"/>
      <w:lvlText w:val="%7."/>
      <w:lvlJc w:val="left"/>
      <w:pPr>
        <w:ind w:left="5040" w:hanging="360"/>
      </w:pPr>
    </w:lvl>
    <w:lvl w:ilvl="7" w:tplc="C8EA3B52">
      <w:start w:val="1"/>
      <w:numFmt w:val="lowerLetter"/>
      <w:lvlText w:val="%8."/>
      <w:lvlJc w:val="left"/>
      <w:pPr>
        <w:ind w:left="5760" w:hanging="360"/>
      </w:pPr>
    </w:lvl>
    <w:lvl w:ilvl="8" w:tplc="3334D41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81E54"/>
    <w:multiLevelType w:val="multilevel"/>
    <w:tmpl w:val="4986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31398"/>
    <w:multiLevelType w:val="hybridMultilevel"/>
    <w:tmpl w:val="4EF4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15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4"/>
  </w:num>
  <w:num w:numId="13">
    <w:abstractNumId w:val="3"/>
  </w:num>
  <w:num w:numId="14">
    <w:abstractNumId w:val="13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816"/>
    <w:rsid w:val="00060816"/>
    <w:rsid w:val="00116682"/>
    <w:rsid w:val="00206B51"/>
    <w:rsid w:val="00370576"/>
    <w:rsid w:val="0041052F"/>
    <w:rsid w:val="00445EA9"/>
    <w:rsid w:val="00B516AD"/>
    <w:rsid w:val="00C214A5"/>
    <w:rsid w:val="00C278BC"/>
    <w:rsid w:val="00CA095E"/>
    <w:rsid w:val="00D83CCB"/>
    <w:rsid w:val="00DD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5E"/>
  </w:style>
  <w:style w:type="paragraph" w:styleId="1">
    <w:name w:val="heading 1"/>
    <w:basedOn w:val="a"/>
    <w:next w:val="a"/>
    <w:link w:val="10"/>
    <w:uiPriority w:val="9"/>
    <w:qFormat/>
    <w:rsid w:val="003705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05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3705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705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7057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705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7057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705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5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7057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705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705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705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705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705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705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7057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7057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7057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057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7057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05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7057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7057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705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70576"/>
    <w:rPr>
      <w:i/>
    </w:rPr>
  </w:style>
  <w:style w:type="paragraph" w:styleId="aa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ВерхКолонтитул"/>
    <w:basedOn w:val="a"/>
    <w:link w:val="ab"/>
    <w:uiPriority w:val="99"/>
    <w:unhideWhenUsed/>
    <w:qFormat/>
    <w:rsid w:val="0037057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ВерхКолонтитул Знак"/>
    <w:basedOn w:val="a0"/>
    <w:link w:val="aa"/>
    <w:uiPriority w:val="99"/>
    <w:qFormat/>
    <w:rsid w:val="00370576"/>
  </w:style>
  <w:style w:type="paragraph" w:styleId="ac">
    <w:name w:val="footer"/>
    <w:basedOn w:val="a"/>
    <w:link w:val="ad"/>
    <w:uiPriority w:val="99"/>
    <w:unhideWhenUsed/>
    <w:rsid w:val="0037057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70576"/>
  </w:style>
  <w:style w:type="paragraph" w:styleId="ae">
    <w:name w:val="caption"/>
    <w:basedOn w:val="a"/>
    <w:next w:val="a"/>
    <w:uiPriority w:val="35"/>
    <w:semiHidden/>
    <w:unhideWhenUsed/>
    <w:qFormat/>
    <w:rsid w:val="0037057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70576"/>
  </w:style>
  <w:style w:type="table" w:customStyle="1" w:styleId="TableGridLight">
    <w:name w:val="Table Grid Light"/>
    <w:basedOn w:val="a1"/>
    <w:uiPriority w:val="59"/>
    <w:rsid w:val="003705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705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70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37057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370576"/>
    <w:rPr>
      <w:sz w:val="18"/>
    </w:rPr>
  </w:style>
  <w:style w:type="character" w:styleId="af1">
    <w:name w:val="footnote reference"/>
    <w:basedOn w:val="a0"/>
    <w:uiPriority w:val="99"/>
    <w:unhideWhenUsed/>
    <w:rsid w:val="0037057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70576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70576"/>
    <w:rPr>
      <w:sz w:val="20"/>
    </w:rPr>
  </w:style>
  <w:style w:type="character" w:styleId="af4">
    <w:name w:val="endnote reference"/>
    <w:basedOn w:val="a0"/>
    <w:uiPriority w:val="99"/>
    <w:semiHidden/>
    <w:unhideWhenUsed/>
    <w:rsid w:val="0037057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70576"/>
    <w:pPr>
      <w:spacing w:after="57"/>
    </w:pPr>
  </w:style>
  <w:style w:type="paragraph" w:styleId="23">
    <w:name w:val="toc 2"/>
    <w:basedOn w:val="a"/>
    <w:next w:val="a"/>
    <w:uiPriority w:val="39"/>
    <w:unhideWhenUsed/>
    <w:rsid w:val="0037057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7057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7057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7057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7057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7057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7057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70576"/>
    <w:pPr>
      <w:spacing w:after="57"/>
      <w:ind w:left="2268"/>
    </w:pPr>
  </w:style>
  <w:style w:type="paragraph" w:styleId="af5">
    <w:name w:val="TOC Heading"/>
    <w:uiPriority w:val="39"/>
    <w:unhideWhenUsed/>
    <w:rsid w:val="00370576"/>
  </w:style>
  <w:style w:type="paragraph" w:styleId="af6">
    <w:name w:val="table of figures"/>
    <w:basedOn w:val="a"/>
    <w:next w:val="a"/>
    <w:uiPriority w:val="99"/>
    <w:unhideWhenUsed/>
    <w:rsid w:val="00370576"/>
    <w:pPr>
      <w:spacing w:after="0"/>
    </w:pPr>
  </w:style>
  <w:style w:type="table" w:styleId="af7">
    <w:name w:val="Table Grid"/>
    <w:basedOn w:val="a1"/>
    <w:uiPriority w:val="39"/>
    <w:rsid w:val="003705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370576"/>
    <w:pPr>
      <w:ind w:left="720"/>
      <w:contextualSpacing/>
    </w:pPr>
  </w:style>
  <w:style w:type="paragraph" w:customStyle="1" w:styleId="Standard">
    <w:name w:val="Standard"/>
    <w:rsid w:val="00370576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customStyle="1" w:styleId="Default">
    <w:name w:val="Default"/>
    <w:rsid w:val="00370576"/>
    <w:pPr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05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9">
    <w:name w:val="Hyperlink"/>
    <w:uiPriority w:val="99"/>
    <w:unhideWhenUsed/>
    <w:rsid w:val="0037057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705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estern">
    <w:name w:val="western"/>
    <w:basedOn w:val="a"/>
    <w:qFormat/>
    <w:rsid w:val="00CA095E"/>
    <w:pPr>
      <w:suppressAutoHyphens/>
      <w:spacing w:before="280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Основной"/>
    <w:qFormat/>
    <w:rsid w:val="00CA095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ata.rkom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novation.72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operator</cp:lastModifiedBy>
  <cp:revision>2</cp:revision>
  <dcterms:created xsi:type="dcterms:W3CDTF">2024-12-18T06:19:00Z</dcterms:created>
  <dcterms:modified xsi:type="dcterms:W3CDTF">2024-12-18T06:19:00Z</dcterms:modified>
</cp:coreProperties>
</file>